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33716" w14:textId="77777777" w:rsidR="008F3D0A" w:rsidRPr="008F3D0A" w:rsidRDefault="008F3D0A" w:rsidP="008F3D0A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F3D0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Naam: Asruf </w:t>
      </w:r>
      <w:proofErr w:type="spellStart"/>
      <w:r w:rsidRPr="008F3D0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Shafridagatoen</w:t>
      </w:r>
      <w:proofErr w:type="spellEnd"/>
    </w:p>
    <w:p w14:paraId="1145318B" w14:textId="77777777" w:rsidR="008F3D0A" w:rsidRPr="008F3D0A" w:rsidRDefault="008F3D0A" w:rsidP="008F3D0A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F3D0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Module 2: Water supply and water use (WSU)</w:t>
      </w:r>
    </w:p>
    <w:p w14:paraId="268A605D" w14:textId="77777777" w:rsidR="008F3D0A" w:rsidRPr="008F3D0A" w:rsidRDefault="008F3D0A" w:rsidP="008F3D0A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3D0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§1 Suriname water resources and global sustainability, status and treats </w:t>
      </w:r>
    </w:p>
    <w:p w14:paraId="259F9279" w14:textId="3886E3F4" w:rsidR="008F3D0A" w:rsidRPr="008F3D0A" w:rsidRDefault="008F3D0A" w:rsidP="008F3D0A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Door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toenemende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populatie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economische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ontwikkeling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is de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vraag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naar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zoetwaterbronnen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groot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Dit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zorgt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ervoor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dat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beheer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van de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waterbronnen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nodig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is om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voldoen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aan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duurzame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landbouw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de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huishoudelijke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industriële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waterbehoeften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Een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waterbron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is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waterlichaam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dat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mensen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kunnen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gebruiken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voor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verschillende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doeleinden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zoals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drinkwatervoorziening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irrigatie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enz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Er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zijn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twee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soorten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waterbronnen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namelijk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hernieuwbare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niet-hernieuwbare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bronnen.Hernieuwbare</w:t>
      </w:r>
      <w:proofErr w:type="spellEnd"/>
      <w:proofErr w:type="gram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waterbronnen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zijn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gemiddelde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stromen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van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rivieren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meren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recharge aquifers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als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gevolg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van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neerslag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Niet-hernieuwbare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waterbronnen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zijn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diepliggende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aquifers of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grondwater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In Suriname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worden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waterbronnen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verdeeld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in: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zout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brak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zoet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water. Verder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wordt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Suriname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geïdentificeerd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als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3674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ếế</w:t>
      </w:r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</w:t>
      </w:r>
      <w:proofErr w:type="spellEnd"/>
      <w:r w:rsidRPr="008F3D0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van 's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werelds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top twee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bronnen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van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zoet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water.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het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district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Nickerie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is het </w:t>
      </w:r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Nani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zwamp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het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enige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natuurlijke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zoetwatermeer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75C2F8C1" w14:textId="77777777" w:rsidR="008F3D0A" w:rsidRPr="008F3D0A" w:rsidRDefault="008F3D0A" w:rsidP="008F3D0A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Aquifers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komen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voor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in de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kustzone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De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dikste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meest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uitgebreide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aquifers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komen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voor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in het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westen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van Suriname. De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belangrijkste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zoetwater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aquifers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waaruit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water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wordt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onttrokken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zijn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de:</w:t>
      </w:r>
    </w:p>
    <w:p w14:paraId="53CE0B48" w14:textId="77777777" w:rsidR="008F3D0A" w:rsidRPr="008F3D0A" w:rsidRDefault="008F3D0A" w:rsidP="008F3D0A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A-sand aquifer: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geen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recharge;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dieptes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van 130-190 m (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voor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Paramaribo</w:t>
      </w:r>
      <w:proofErr w:type="gram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);</w:t>
      </w:r>
      <w:proofErr w:type="gramEnd"/>
    </w:p>
    <w:p w14:paraId="2293BD13" w14:textId="77777777" w:rsidR="008F3D0A" w:rsidRPr="008F3D0A" w:rsidRDefault="008F3D0A" w:rsidP="008F3D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Coesewijne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aquifer: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geen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recharge;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diepte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70-110 m (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dieper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in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Nickerie</w:t>
      </w:r>
      <w:proofErr w:type="spellEnd"/>
      <w:proofErr w:type="gram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);</w:t>
      </w:r>
      <w:proofErr w:type="gramEnd"/>
    </w:p>
    <w:p w14:paraId="18C9354E" w14:textId="77777777" w:rsidR="008F3D0A" w:rsidRPr="008F3D0A" w:rsidRDefault="008F3D0A" w:rsidP="008F3D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Zanderij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aquifers: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gedeeltelijk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recharged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vanuit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Savannah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gebied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diepten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van 15-60 m (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dieper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in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Nickerie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).</w:t>
      </w:r>
    </w:p>
    <w:p w14:paraId="7A0EBC09" w14:textId="77777777" w:rsidR="008F3D0A" w:rsidRPr="008F3D0A" w:rsidRDefault="008F3D0A" w:rsidP="008F3D0A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3D0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Integrated Water Resources Management (IWRM) </w:t>
      </w:r>
    </w:p>
    <w:p w14:paraId="2250A925" w14:textId="77777777" w:rsidR="008F3D0A" w:rsidRPr="008F3D0A" w:rsidRDefault="008F3D0A" w:rsidP="008F3D0A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In 2016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werd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voor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Suriname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Integrated Water Resources Management (IWRM)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ontwikkeld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onder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leiding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van het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Ministerie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van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Natuurlijke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Hulpbronnen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(NH).</w:t>
      </w:r>
      <w:r w:rsidRPr="008F3D0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[1] </w:t>
      </w:r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volgende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vijf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componenten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werden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geïdentificeerd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om de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implementatie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van IWRM in Suriname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ondersteunen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0B75BE4C" w14:textId="77777777" w:rsidR="008F3D0A" w:rsidRPr="008F3D0A" w:rsidRDefault="008F3D0A" w:rsidP="005E4431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De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faciliterende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omgeving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bestaande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uit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politieke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betrokkenheid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steun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bewustwording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betrokkenheid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participatie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van het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algemene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publiek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private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belanghebbenden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3F121285" w14:textId="77777777" w:rsidR="008F3D0A" w:rsidRPr="008F3D0A" w:rsidRDefault="008F3D0A" w:rsidP="005E44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 2. Het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juridisch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kader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voor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huidige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toekomstige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wetten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die het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waterbeheersysteem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structureren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voorzien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van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regelgevende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instrumenten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voor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beleidsinstrumentatie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regulering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 </w:t>
      </w:r>
    </w:p>
    <w:p w14:paraId="335D58E6" w14:textId="4BF73B0E" w:rsidR="008F3D0A" w:rsidRPr="008F3D0A" w:rsidRDefault="008F3D0A" w:rsidP="005E44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 De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instellingen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capaciteiten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gericht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op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coördinerende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procedures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processen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van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publieke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betrokkenheid</w:t>
      </w:r>
      <w:proofErr w:type="spellEnd"/>
      <w:r w:rsidR="005E44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1F284E91" w14:textId="77777777" w:rsidR="008F3D0A" w:rsidRPr="008F3D0A" w:rsidRDefault="008F3D0A" w:rsidP="005E44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 De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kennis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die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nodig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is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voor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gegevensverzameling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uitwisseling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onderzoek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naar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verschillende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onderdelen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van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watersystemen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685AD070" w14:textId="77777777" w:rsidR="008F3D0A" w:rsidRPr="008F3D0A" w:rsidRDefault="008F3D0A" w:rsidP="005E4431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5. De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financiële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middelen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die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nodig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zijn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om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capaciteitsontwikkeling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ondersteunen</w:t>
      </w:r>
      <w:proofErr w:type="spellEnd"/>
    </w:p>
    <w:p w14:paraId="609233E0" w14:textId="77777777" w:rsidR="00663FC0" w:rsidRDefault="00663FC0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 w:type="page"/>
      </w:r>
    </w:p>
    <w:p w14:paraId="7EFB48A0" w14:textId="638781FA" w:rsidR="008F3D0A" w:rsidRPr="008F3D0A" w:rsidRDefault="008F3D0A" w:rsidP="008F3D0A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Beter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waterbeheer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essentieel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om de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gevolgen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van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rampen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risico's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verminderen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Suriname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moet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investeren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in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strategieën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die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zich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richten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op het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beperken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van de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gevolgen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van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drogere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klimaten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omstandigheden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voor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landbouw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Watervoorraden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in Suriname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kunnen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onder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druk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komen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staan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als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gevolg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van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klimaatverandering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91E3091" w14:textId="77777777" w:rsidR="008F3D0A" w:rsidRPr="008F3D0A" w:rsidRDefault="008F3D0A" w:rsidP="008F3D0A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Zonder de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juiste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maatregelen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zal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zoutwaterintrusie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gevolgen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hebben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waarbij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landbouwsector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andere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sectoren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in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gevaar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kunnen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treden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6639E9B0" w14:textId="77777777" w:rsidR="008F3D0A" w:rsidRPr="008F3D0A" w:rsidRDefault="008F3D0A" w:rsidP="008F3D0A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3D0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§2 Modelling Future water stress</w:t>
      </w:r>
    </w:p>
    <w:p w14:paraId="2ABB77A9" w14:textId="40FC6246" w:rsidR="008F3D0A" w:rsidRPr="008F3D0A" w:rsidRDefault="008F3D0A" w:rsidP="008F3D0A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Door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klimaatverandering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zal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waterstress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onder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bevolking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toenemen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 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Waterstress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is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situatie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waarin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er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niet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genoeg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water van de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juiste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kwaliteit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is om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aan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vraag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van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mens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milieu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voldoen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In de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toekomst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zal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klimaatverandering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het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probleem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verergeren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door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stijgende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droogteperiodes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Bijna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miljard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mensen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in de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wereld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leven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zonder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toegang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tot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schoon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water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waterschaarste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blijft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maar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stijgen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[2] Suriname met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totaal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oppervlakte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van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ongeveer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163.800 km</w:t>
      </w:r>
      <w:r w:rsidR="003674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2</w:t>
      </w:r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is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extreem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rijk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gebied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3674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met </w:t>
      </w:r>
      <w:proofErr w:type="spellStart"/>
      <w:r w:rsidR="003674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een</w:t>
      </w:r>
      <w:proofErr w:type="spellEnd"/>
      <w:r w:rsidR="003674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jaarlijkse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beschikbaarheid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van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zoet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water. Extreme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droge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tijd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zorgt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ook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voor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veel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schade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aan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het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aquatisch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leven</w:t>
      </w:r>
      <w:proofErr w:type="spellEnd"/>
      <w:r w:rsidR="003674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In Suriname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wordt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water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onttrokken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voor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verschillende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doeleinden</w:t>
      </w:r>
      <w:proofErr w:type="spellEnd"/>
      <w:r w:rsidR="003674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3674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m.n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7297E0D8" w14:textId="77777777" w:rsidR="00367485" w:rsidRDefault="008F3D0A" w:rsidP="003674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Landbouw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voornamelijk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voor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rijst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bananen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gevolgd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door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tuinbouw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</w:t>
      </w:r>
    </w:p>
    <w:p w14:paraId="5B15EC5D" w14:textId="4799BA06" w:rsidR="008F3D0A" w:rsidRPr="008F3D0A" w:rsidRDefault="00367485" w:rsidP="003674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="008F3D0A"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8F3D0A"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Huishoudelijk</w:t>
      </w:r>
      <w:proofErr w:type="spellEnd"/>
      <w:r w:rsidR="008F3D0A"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8F3D0A"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gebruik</w:t>
      </w:r>
      <w:proofErr w:type="spellEnd"/>
    </w:p>
    <w:p w14:paraId="731982C6" w14:textId="77777777" w:rsidR="008F3D0A" w:rsidRPr="008F3D0A" w:rsidRDefault="008F3D0A" w:rsidP="003674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Industrie</w:t>
      </w:r>
      <w:proofErr w:type="spellEnd"/>
    </w:p>
    <w:p w14:paraId="0D6EFD7E" w14:textId="77777777" w:rsidR="00663FC0" w:rsidRDefault="008F3D0A" w:rsidP="00663FC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Energie</w:t>
      </w:r>
      <w:proofErr w:type="spellEnd"/>
    </w:p>
    <w:p w14:paraId="07DC684B" w14:textId="0F8C1E31" w:rsidR="00367485" w:rsidRPr="008F3D0A" w:rsidRDefault="008F3D0A" w:rsidP="00663FC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Geïntegreerde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maatregelen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zijn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3674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dus</w:t>
      </w:r>
      <w:proofErr w:type="spellEnd"/>
      <w:r w:rsidR="003674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nodig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3674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om </w:t>
      </w:r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weerbaarheid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(resilience) </w:t>
      </w:r>
      <w:proofErr w:type="spellStart"/>
      <w:r w:rsidR="003674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te</w:t>
      </w:r>
      <w:proofErr w:type="spellEnd"/>
      <w:r w:rsidR="003674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kunnen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opvoeren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650DCE4D" w14:textId="77777777" w:rsidR="008F3D0A" w:rsidRPr="008F3D0A" w:rsidRDefault="008F3D0A" w:rsidP="008F3D0A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3D0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§3 Water and Agriculture</w:t>
      </w:r>
    </w:p>
    <w:p w14:paraId="5DB0472F" w14:textId="2D99C396" w:rsidR="008F3D0A" w:rsidRPr="008F3D0A" w:rsidRDefault="008F3D0A" w:rsidP="00663FC0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3D0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Sustainable aqua culture</w:t>
      </w:r>
    </w:p>
    <w:p w14:paraId="13CB93EA" w14:textId="0C79E4B1" w:rsidR="008F3D0A" w:rsidRPr="008F3D0A" w:rsidRDefault="008F3D0A" w:rsidP="008F3D0A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Er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zijn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veel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praktijken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die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gebruikt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8F00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worden</w:t>
      </w:r>
      <w:proofErr w:type="spellEnd"/>
      <w:r w:rsidR="008F00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door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mensen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die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werken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in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duurzame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landbouw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duurzame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voedselsystemen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r w:rsidR="008F00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Landbouwers</w:t>
      </w:r>
      <w:proofErr w:type="spellEnd"/>
      <w:r w:rsidR="008F00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kunnen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methoden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gebruiken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om de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gezondheid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van de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bodem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bevorderen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het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waterverbruik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minimaliseren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vervuilingsniveaus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op de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boerderij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verminderen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="008F00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[3]</w:t>
      </w:r>
    </w:p>
    <w:p w14:paraId="59E21C3E" w14:textId="77777777" w:rsidR="005E4431" w:rsidRDefault="008F3D0A" w:rsidP="008F0069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belangrijkste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fysieke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gevolgen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van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8F00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zeespiegel</w:t>
      </w:r>
      <w:proofErr w:type="spellEnd"/>
      <w:r w:rsidR="008F00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stijging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zijn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onder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meer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erosie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van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stranden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overstromingen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verlies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van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veel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moerassen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wetlands. </w:t>
      </w:r>
      <w:r w:rsidR="008F00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Een </w:t>
      </w:r>
      <w:proofErr w:type="spellStart"/>
      <w:r w:rsidR="008F00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</w:t>
      </w:r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erhoogd</w:t>
      </w:r>
      <w:r w:rsidR="008F00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zoutgehalte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8F00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kan</w:t>
      </w:r>
      <w:proofErr w:type="spellEnd"/>
      <w:r w:rsidR="008F00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probleem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worden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in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kustwatervoerende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lagen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estuariene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systemen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als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gevolg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van het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binnendringen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van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zout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water.</w:t>
      </w:r>
      <w:r w:rsidR="008F00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[4] </w:t>
      </w:r>
      <w:r w:rsidR="005E44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De </w:t>
      </w:r>
      <w:proofErr w:type="spellStart"/>
      <w:r w:rsidR="005E44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</w:t>
      </w:r>
      <w:r w:rsidR="008F0069"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ffect</w:t>
      </w:r>
      <w:r w:rsidR="005E44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</w:t>
      </w:r>
      <w:proofErr w:type="spellEnd"/>
      <w:r w:rsidR="008F0069"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van Sea Level Rise </w:t>
      </w:r>
      <w:proofErr w:type="spellStart"/>
      <w:r w:rsidR="005E44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kan</w:t>
      </w:r>
      <w:proofErr w:type="spellEnd"/>
      <w:r w:rsidR="005E44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5E44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invloed</w:t>
      </w:r>
      <w:proofErr w:type="spellEnd"/>
      <w:r w:rsidR="005E44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5E44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hebben</w:t>
      </w:r>
      <w:proofErr w:type="spellEnd"/>
      <w:r w:rsidR="005E44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8F0069"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op: </w:t>
      </w:r>
    </w:p>
    <w:p w14:paraId="3E94A862" w14:textId="23B770D3" w:rsidR="005E4431" w:rsidRPr="005E4431" w:rsidRDefault="008F0069" w:rsidP="005E4431">
      <w:pPr>
        <w:pStyle w:val="ListParagraph"/>
        <w:numPr>
          <w:ilvl w:val="0"/>
          <w:numId w:val="4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4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Zoet water </w:t>
      </w:r>
      <w:proofErr w:type="spellStart"/>
      <w:r w:rsidRPr="005E44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bronnen</w:t>
      </w:r>
      <w:proofErr w:type="spellEnd"/>
      <w:r w:rsidRPr="005E44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(aquifers) </w:t>
      </w:r>
    </w:p>
    <w:p w14:paraId="41F892F8" w14:textId="77777777" w:rsidR="005E4431" w:rsidRPr="005E4431" w:rsidRDefault="008F0069" w:rsidP="005E4431">
      <w:pPr>
        <w:pStyle w:val="ListParagraph"/>
        <w:numPr>
          <w:ilvl w:val="0"/>
          <w:numId w:val="4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E44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Irrigatie</w:t>
      </w:r>
      <w:proofErr w:type="spellEnd"/>
      <w:r w:rsidRPr="005E44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water </w:t>
      </w:r>
      <w:proofErr w:type="spellStart"/>
      <w:r w:rsidRPr="005E44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voor</w:t>
      </w:r>
      <w:proofErr w:type="spellEnd"/>
      <w:r w:rsidRPr="005E44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E44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agrarische</w:t>
      </w:r>
      <w:proofErr w:type="spellEnd"/>
      <w:r w:rsidRPr="005E44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E44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productie</w:t>
      </w:r>
      <w:proofErr w:type="spellEnd"/>
      <w:r w:rsidRPr="005E44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5C4EB04F" w14:textId="77777777" w:rsidR="005E4431" w:rsidRPr="005E4431" w:rsidRDefault="008F0069" w:rsidP="005E4431">
      <w:pPr>
        <w:pStyle w:val="ListParagraph"/>
        <w:numPr>
          <w:ilvl w:val="0"/>
          <w:numId w:val="4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4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Drinkwater </w:t>
      </w:r>
      <w:proofErr w:type="spellStart"/>
      <w:r w:rsidRPr="005E44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bronnen</w:t>
      </w:r>
      <w:proofErr w:type="spellEnd"/>
      <w:r w:rsidRPr="005E44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E44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voor</w:t>
      </w:r>
      <w:proofErr w:type="spellEnd"/>
      <w:r w:rsidRPr="005E44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5E44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veeteelt</w:t>
      </w:r>
      <w:proofErr w:type="spellEnd"/>
      <w:r w:rsidRPr="005E44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17F3F689" w14:textId="77777777" w:rsidR="005E4431" w:rsidRPr="005E4431" w:rsidRDefault="008F0069" w:rsidP="005E4431">
      <w:pPr>
        <w:pStyle w:val="ListParagraph"/>
        <w:numPr>
          <w:ilvl w:val="0"/>
          <w:numId w:val="4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E44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Versilting</w:t>
      </w:r>
      <w:proofErr w:type="spellEnd"/>
      <w:r w:rsidRPr="005E44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van de </w:t>
      </w:r>
      <w:proofErr w:type="spellStart"/>
      <w:proofErr w:type="gramStart"/>
      <w:r w:rsidRPr="005E44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bodem</w:t>
      </w:r>
      <w:proofErr w:type="spellEnd"/>
      <w:proofErr w:type="gramEnd"/>
      <w:r w:rsidRPr="005E44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7C1FCE29" w14:textId="16B3FC44" w:rsidR="008F3D0A" w:rsidRPr="005E4431" w:rsidRDefault="008F0069" w:rsidP="008F3D0A">
      <w:pPr>
        <w:pStyle w:val="ListParagraph"/>
        <w:numPr>
          <w:ilvl w:val="0"/>
          <w:numId w:val="4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E44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Biodiversiteit</w:t>
      </w:r>
      <w:proofErr w:type="spellEnd"/>
      <w:r w:rsidRPr="005E44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E44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</w:t>
      </w:r>
      <w:proofErr w:type="spellEnd"/>
      <w:r w:rsidRPr="005E44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E44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ecosystemen</w:t>
      </w:r>
      <w:proofErr w:type="spellEnd"/>
    </w:p>
    <w:p w14:paraId="742DD5CC" w14:textId="77777777" w:rsidR="00663FC0" w:rsidRDefault="00663FC0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br w:type="page"/>
      </w:r>
    </w:p>
    <w:p w14:paraId="6B3504AF" w14:textId="1D1971C2" w:rsidR="008F3D0A" w:rsidRPr="008F3D0A" w:rsidRDefault="008F3D0A" w:rsidP="008F3D0A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3D0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lastRenderedPageBreak/>
        <w:t>§4 Irrigation and water management</w:t>
      </w:r>
    </w:p>
    <w:p w14:paraId="17ADFA75" w14:textId="1D82E0F2" w:rsidR="008F3D0A" w:rsidRPr="008F3D0A" w:rsidRDefault="008F3D0A" w:rsidP="008F3D0A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Irrigatie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kan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gedefinieerd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worden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als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het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kunstmatig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sproeien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van water op land, in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overeenstemming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met de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waterbehoefte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van het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gewas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Irrigatiewater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wordt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ook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gebruikt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voor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voorbereiding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van het veld,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distributie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van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meststoffen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pesticiden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 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Irrigatiewater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is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afkomstig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van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natuurlijke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bronnen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zoals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regenwater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rivieren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meren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vijvers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enz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.)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door de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mens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gemaakte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bronnen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zoals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dammen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bronnen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pompen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kanalen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enz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.). De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kwantiteit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kwaliteit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van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irrigatiewater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zijn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belangrijke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factoren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waarmee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rekening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gehouden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dient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worden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 Het "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Wakay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"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pompstation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levert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water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aan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ongeveer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15.000 ha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rijstpolders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86E0EE2" w14:textId="77777777" w:rsidR="008F3D0A" w:rsidRPr="008F3D0A" w:rsidRDefault="008F3D0A" w:rsidP="008F3D0A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rol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van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irrigatiewater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013DA64F" w14:textId="77777777" w:rsidR="008F3D0A" w:rsidRPr="008F3D0A" w:rsidRDefault="008F3D0A" w:rsidP="005E4431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Verlengt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biologische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chemische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activiteit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van de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bodem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tijdens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droge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perioden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creëert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optimale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groeiomstandigheden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voor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gekweekte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gewassen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3521CCA3" w14:textId="77777777" w:rsidR="008F3D0A" w:rsidRPr="008F3D0A" w:rsidRDefault="008F3D0A" w:rsidP="00555E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Irrigatiewater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wordt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het medium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waarin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bodemvoedingsstoffen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worden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opgelost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waardoor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voedingsstoffen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vrijkomen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voor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planten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 </w:t>
      </w:r>
    </w:p>
    <w:p w14:paraId="6CB45BEF" w14:textId="77777777" w:rsidR="008F3D0A" w:rsidRPr="008F3D0A" w:rsidRDefault="008F3D0A" w:rsidP="005E4431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Watermoleculen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in de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watergeleidende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vasculaire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bundels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andere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weefsels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van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planten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bieden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fysieke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ondersteuning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voor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plant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zelf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5E37D98B" w14:textId="77777777" w:rsidR="008F3D0A" w:rsidRPr="008F3D0A" w:rsidRDefault="008F3D0A" w:rsidP="00555E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 Het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verlies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van water door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evapotranspiratie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bevrijdt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plant van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warmte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reguleert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zo de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planttemperatuur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1FA19984" w14:textId="6D306222" w:rsidR="008F3D0A" w:rsidRPr="008F3D0A" w:rsidRDefault="008F3D0A" w:rsidP="00555E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5. Door de stress op de plant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verminderen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verbetert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irrigatie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weerstand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van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planten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tegen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ziekten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plagen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verbetert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kwaliteit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van het </w:t>
      </w: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gewas</w:t>
      </w:r>
      <w:proofErr w:type="spellEnd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 </w:t>
      </w:r>
    </w:p>
    <w:p w14:paraId="162F9909" w14:textId="634BADEE" w:rsidR="008F3D0A" w:rsidRPr="008F3D0A" w:rsidRDefault="00663FC0" w:rsidP="008F3D0A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</w:t>
      </w:r>
      <w:r w:rsidR="008F3D0A"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rrig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atie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van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velden</w:t>
      </w:r>
      <w:proofErr w:type="spellEnd"/>
      <w:r w:rsidR="008F3D0A" w:rsidRPr="008F3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3B0EB84D" w14:textId="213E0B90" w:rsidR="008F3D0A" w:rsidRPr="00555E02" w:rsidRDefault="008F3D0A" w:rsidP="00555E02">
      <w:pPr>
        <w:pStyle w:val="ListParagraph"/>
        <w:numPr>
          <w:ilvl w:val="0"/>
          <w:numId w:val="5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Oppervlakte-irrigatie</w:t>
      </w:r>
      <w:proofErr w:type="spellEnd"/>
      <w:r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wereldwijd</w:t>
      </w:r>
      <w:proofErr w:type="spellEnd"/>
      <w:r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80% van al het </w:t>
      </w:r>
      <w:proofErr w:type="spellStart"/>
      <w:r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geïrrigeerde</w:t>
      </w:r>
      <w:proofErr w:type="spellEnd"/>
      <w:r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land)</w:t>
      </w:r>
    </w:p>
    <w:p w14:paraId="3EC12722" w14:textId="014131C1" w:rsidR="008F3D0A" w:rsidRPr="00555E02" w:rsidRDefault="008F3D0A" w:rsidP="00555E02">
      <w:pPr>
        <w:pStyle w:val="ListParagraph"/>
        <w:numPr>
          <w:ilvl w:val="0"/>
          <w:numId w:val="5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Sproei</w:t>
      </w:r>
      <w:proofErr w:type="spellEnd"/>
      <w:r w:rsidR="00555E02"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rirrigatie</w:t>
      </w:r>
      <w:proofErr w:type="spellEnd"/>
    </w:p>
    <w:p w14:paraId="13070FEE" w14:textId="4FDAD656" w:rsidR="008F3D0A" w:rsidRPr="00555E02" w:rsidRDefault="008F3D0A" w:rsidP="00555E02">
      <w:pPr>
        <w:pStyle w:val="ListParagraph"/>
        <w:numPr>
          <w:ilvl w:val="0"/>
          <w:numId w:val="5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Druppel</w:t>
      </w:r>
      <w:proofErr w:type="spellEnd"/>
      <w:r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Irrigatie</w:t>
      </w:r>
      <w:proofErr w:type="spellEnd"/>
    </w:p>
    <w:p w14:paraId="10FAE95E" w14:textId="193DDE3C" w:rsidR="008F3D0A" w:rsidRPr="008F3D0A" w:rsidRDefault="00555E02" w:rsidP="008F3D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Irrigatie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nodig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wanneer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4D76EB4" w14:textId="4AB8EEC7" w:rsidR="008F3D0A" w:rsidRPr="00555E02" w:rsidRDefault="00555E02" w:rsidP="00555E02">
      <w:pPr>
        <w:pStyle w:val="ListParagraph"/>
        <w:numPr>
          <w:ilvl w:val="0"/>
          <w:numId w:val="5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Verband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8F3D0A"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tussen</w:t>
      </w:r>
      <w:proofErr w:type="spellEnd"/>
      <w:r w:rsidR="008F3D0A"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8F3D0A"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bodemvocht</w:t>
      </w:r>
      <w:proofErr w:type="spellEnd"/>
      <w:r w:rsidR="008F3D0A"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plant stress, </w:t>
      </w:r>
      <w:proofErr w:type="spellStart"/>
      <w:r w:rsidR="008F3D0A"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productiviteit</w:t>
      </w:r>
      <w:proofErr w:type="spellEnd"/>
      <w:r w:rsidR="008F3D0A"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van </w:t>
      </w:r>
      <w:proofErr w:type="spellStart"/>
      <w:r w:rsidR="008F3D0A"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gewassen</w:t>
      </w:r>
      <w:proofErr w:type="spellEnd"/>
      <w:r w:rsidR="008F3D0A"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8F3D0A"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</w:t>
      </w:r>
      <w:proofErr w:type="spellEnd"/>
      <w:r w:rsidR="008F3D0A"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8F3D0A"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waterbehoefte</w:t>
      </w:r>
      <w:proofErr w:type="spellEnd"/>
    </w:p>
    <w:p w14:paraId="57BEA1AB" w14:textId="4AC92953" w:rsidR="008F3D0A" w:rsidRPr="00555E02" w:rsidRDefault="008F3D0A" w:rsidP="00555E02">
      <w:pPr>
        <w:pStyle w:val="ListParagraph"/>
        <w:numPr>
          <w:ilvl w:val="0"/>
          <w:numId w:val="5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Watergevoelige</w:t>
      </w:r>
      <w:proofErr w:type="spellEnd"/>
      <w:r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stadia </w:t>
      </w:r>
      <w:proofErr w:type="spellStart"/>
      <w:r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tijdens</w:t>
      </w:r>
      <w:proofErr w:type="spellEnd"/>
      <w:r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gewasontwikkeling</w:t>
      </w:r>
      <w:proofErr w:type="spellEnd"/>
    </w:p>
    <w:p w14:paraId="474CF264" w14:textId="22433C2E" w:rsidR="008F3D0A" w:rsidRPr="00555E02" w:rsidRDefault="008F3D0A" w:rsidP="00555E02">
      <w:pPr>
        <w:pStyle w:val="ListParagraph"/>
        <w:numPr>
          <w:ilvl w:val="0"/>
          <w:numId w:val="5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Algemene</w:t>
      </w:r>
      <w:proofErr w:type="spellEnd"/>
      <w:r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tekenen</w:t>
      </w:r>
      <w:proofErr w:type="spellEnd"/>
      <w:r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van </w:t>
      </w:r>
      <w:proofErr w:type="spellStart"/>
      <w:r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waterbehoefte</w:t>
      </w:r>
      <w:proofErr w:type="spellEnd"/>
    </w:p>
    <w:p w14:paraId="6DFBB4ED" w14:textId="08688130" w:rsidR="008F3D0A" w:rsidRPr="00555E02" w:rsidRDefault="008F3D0A" w:rsidP="00555E02">
      <w:pPr>
        <w:pStyle w:val="ListParagraph"/>
        <w:numPr>
          <w:ilvl w:val="0"/>
          <w:numId w:val="5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De '</w:t>
      </w:r>
      <w:proofErr w:type="spellStart"/>
      <w:r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gevoel</w:t>
      </w:r>
      <w:proofErr w:type="spellEnd"/>
      <w:r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'-</w:t>
      </w:r>
      <w:proofErr w:type="spellStart"/>
      <w:r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benadering</w:t>
      </w:r>
      <w:proofErr w:type="spellEnd"/>
      <w:r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kwalitatief</w:t>
      </w:r>
      <w:proofErr w:type="spellEnd"/>
      <w:r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ervaring</w:t>
      </w:r>
      <w:proofErr w:type="spellEnd"/>
      <w:r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</w:t>
      </w:r>
    </w:p>
    <w:p w14:paraId="2731220A" w14:textId="2BBA1A92" w:rsidR="008F3D0A" w:rsidRPr="00663FC0" w:rsidRDefault="008F3D0A" w:rsidP="008F3D0A">
      <w:pPr>
        <w:pStyle w:val="ListParagraph"/>
        <w:numPr>
          <w:ilvl w:val="0"/>
          <w:numId w:val="5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Waterbalansbenadering</w:t>
      </w:r>
      <w:proofErr w:type="spellEnd"/>
      <w:r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kwantitatief</w:t>
      </w:r>
      <w:proofErr w:type="spellEnd"/>
      <w:r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wetenschappelijk</w:t>
      </w:r>
      <w:proofErr w:type="spellEnd"/>
      <w:r w:rsidRPr="00555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</w:t>
      </w:r>
    </w:p>
    <w:p w14:paraId="22F3961A" w14:textId="77777777" w:rsidR="008F3D0A" w:rsidRPr="008F3D0A" w:rsidRDefault="008F3D0A" w:rsidP="008F3D0A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F3D0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Referentie</w:t>
      </w:r>
      <w:proofErr w:type="spellEnd"/>
      <w:r w:rsidRPr="008F3D0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F3D0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lijst</w:t>
      </w:r>
      <w:proofErr w:type="spellEnd"/>
      <w:r w:rsidRPr="008F3D0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:</w:t>
      </w:r>
    </w:p>
    <w:p w14:paraId="75D22D52" w14:textId="77777777" w:rsidR="008F3D0A" w:rsidRPr="00367485" w:rsidRDefault="008F3D0A" w:rsidP="0036748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" w:history="1">
        <w:r w:rsidRPr="00367485">
          <w:rPr>
            <w:rFonts w:ascii="Times New Roman" w:eastAsia="Times New Roman" w:hAnsi="Times New Roman" w:cs="Times New Roman"/>
            <w:b/>
            <w:bCs/>
            <w:color w:val="1155CC"/>
            <w:kern w:val="0"/>
            <w:sz w:val="24"/>
            <w:szCs w:val="24"/>
            <w:u w:val="single"/>
            <w14:ligatures w14:val="none"/>
          </w:rPr>
          <w:t>https://www.bio-plateaux.org/sites/default/files/documents/IWRM_SR.pdf</w:t>
        </w:r>
      </w:hyperlink>
    </w:p>
    <w:p w14:paraId="1B21A6BE" w14:textId="77777777" w:rsidR="008F3D0A" w:rsidRDefault="008F3D0A" w:rsidP="0036748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" w:history="1">
        <w:r w:rsidRPr="00367485">
          <w:rPr>
            <w:rFonts w:ascii="Times New Roman" w:eastAsia="Times New Roman" w:hAnsi="Times New Roman" w:cs="Times New Roman"/>
            <w:color w:val="1155CC"/>
            <w:kern w:val="0"/>
            <w:sz w:val="24"/>
            <w:szCs w:val="24"/>
            <w:u w:val="single"/>
            <w14:ligatures w14:val="none"/>
          </w:rPr>
          <w:t>https://www.eea.europa.eu/highlights/water-stress-is-a-major</w:t>
        </w:r>
      </w:hyperlink>
    </w:p>
    <w:p w14:paraId="67EA4F53" w14:textId="77777777" w:rsidR="008F0069" w:rsidRPr="008F0069" w:rsidRDefault="008F0069" w:rsidP="008F0069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" w:history="1">
        <w:r w:rsidRPr="008F0069">
          <w:rPr>
            <w:rFonts w:ascii="Times New Roman" w:eastAsia="Times New Roman" w:hAnsi="Times New Roman" w:cs="Times New Roman"/>
            <w:color w:val="1155CC"/>
            <w:kern w:val="0"/>
            <w:sz w:val="24"/>
            <w:szCs w:val="24"/>
            <w:u w:val="single"/>
            <w14:ligatures w14:val="none"/>
          </w:rPr>
          <w:t>https://sarep.ucdavis.edu/sustainable-ag</w:t>
        </w:r>
      </w:hyperlink>
    </w:p>
    <w:p w14:paraId="17E21D17" w14:textId="300B6089" w:rsidR="00E602CA" w:rsidRPr="00663FC0" w:rsidRDefault="008F0069" w:rsidP="00663FC0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8" w:anchor=":~:text=The%20major%20physical%20impacts%20of,of%20many%20marshes%20and%20wetlands" w:history="1">
        <w:r w:rsidRPr="008F0069">
          <w:rPr>
            <w:rFonts w:ascii="Times New Roman" w:eastAsia="Times New Roman" w:hAnsi="Times New Roman" w:cs="Times New Roman"/>
            <w:color w:val="1155CC"/>
            <w:kern w:val="0"/>
            <w:sz w:val="24"/>
            <w:szCs w:val="24"/>
            <w:u w:val="single"/>
            <w14:ligatures w14:val="none"/>
          </w:rPr>
          <w:t>https://www.c2es.org/document/sea-level-rise-global-climate-change-a-review-of-impacts-to-u-s-coasts/#:~:text=The%20major%20physical%20impacts%20of,of%20many%20marshes%20and%20wetlands</w:t>
        </w:r>
      </w:hyperlink>
      <w:r w:rsidRPr="008F00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sectPr w:rsidR="00E602CA" w:rsidRPr="00663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687F"/>
    <w:multiLevelType w:val="hybridMultilevel"/>
    <w:tmpl w:val="BFD4C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E09B2"/>
    <w:multiLevelType w:val="hybridMultilevel"/>
    <w:tmpl w:val="7FCC3E58"/>
    <w:lvl w:ilvl="0" w:tplc="8AE4E4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F6DA5"/>
    <w:multiLevelType w:val="hybridMultilevel"/>
    <w:tmpl w:val="4C9A3CE6"/>
    <w:lvl w:ilvl="0" w:tplc="6B66C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010CA"/>
    <w:multiLevelType w:val="hybridMultilevel"/>
    <w:tmpl w:val="7CFC4A3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892762"/>
    <w:multiLevelType w:val="hybridMultilevel"/>
    <w:tmpl w:val="97DC6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E49A3"/>
    <w:multiLevelType w:val="hybridMultilevel"/>
    <w:tmpl w:val="6C7C4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4049C"/>
    <w:multiLevelType w:val="hybridMultilevel"/>
    <w:tmpl w:val="6D3C1102"/>
    <w:lvl w:ilvl="0" w:tplc="6B66C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832677">
    <w:abstractNumId w:val="4"/>
  </w:num>
  <w:num w:numId="2" w16cid:durableId="1244145986">
    <w:abstractNumId w:val="5"/>
  </w:num>
  <w:num w:numId="3" w16cid:durableId="2008821951">
    <w:abstractNumId w:val="1"/>
  </w:num>
  <w:num w:numId="4" w16cid:durableId="85228534">
    <w:abstractNumId w:val="3"/>
  </w:num>
  <w:num w:numId="5" w16cid:durableId="187645939">
    <w:abstractNumId w:val="0"/>
  </w:num>
  <w:num w:numId="6" w16cid:durableId="766731842">
    <w:abstractNumId w:val="6"/>
  </w:num>
  <w:num w:numId="7" w16cid:durableId="526871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D0A"/>
    <w:rsid w:val="00367485"/>
    <w:rsid w:val="00555E02"/>
    <w:rsid w:val="005E4431"/>
    <w:rsid w:val="00663FC0"/>
    <w:rsid w:val="00701D9D"/>
    <w:rsid w:val="008F0069"/>
    <w:rsid w:val="008F3D0A"/>
    <w:rsid w:val="00E6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CEDE1"/>
  <w15:chartTrackingRefBased/>
  <w15:docId w15:val="{D10D924C-C51D-4959-94B2-33181AB6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3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F3D0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7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3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2es.org/document/sea-level-rise-global-climate-change-a-review-of-impacts-to-u-s-coas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rep.ucdavis.edu/sustainable-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ea.europa.eu/highlights/water-stress-is-a-major" TargetMode="External"/><Relationship Id="rId5" Type="http://schemas.openxmlformats.org/officeDocument/2006/relationships/hyperlink" Target="https://www.bio-plateaux.org/sites/default/files/documents/IWRM_SR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Abygail Ghafoerkhan</dc:creator>
  <cp:keywords/>
  <dc:description/>
  <cp:lastModifiedBy>Abygail Ghafoerkhan</cp:lastModifiedBy>
  <cp:revision>1</cp:revision>
  <dcterms:created xsi:type="dcterms:W3CDTF">2023-08-01T00:25:00Z</dcterms:created>
  <dcterms:modified xsi:type="dcterms:W3CDTF">2023-08-01T01:24:00Z</dcterms:modified>
</cp:coreProperties>
</file>